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6E7B5"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S5-252641</w:t>
      </w:r>
    </w:p>
    <w:p w14:paraId="55E40C14">
      <w:pPr>
        <w:pStyle w:val="62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2A693B7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Telecom</w:t>
      </w:r>
    </w:p>
    <w:p w14:paraId="2C458A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WI summary for Enhancement of Management Aspects Related of NWDAF Phase 2</w:t>
      </w:r>
    </w:p>
    <w:p w14:paraId="02CFB2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6.19.18.1</w:t>
      </w:r>
    </w:p>
    <w:p w14:paraId="13D426F8">
      <w:pPr>
        <w:pStyle w:val="3"/>
      </w:pPr>
      <w:r>
        <w:t>1</w:t>
      </w:r>
      <w:r>
        <w:tab/>
      </w:r>
      <w:r>
        <w:t>Decision/action requested</w:t>
      </w:r>
    </w:p>
    <w:p w14:paraId="4CE7B1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>
      <w:pPr>
        <w:pStyle w:val="3"/>
      </w:pPr>
      <w:r>
        <w:t>2</w:t>
      </w:r>
      <w:r>
        <w:tab/>
      </w:r>
      <w:r>
        <w:t>References</w:t>
      </w:r>
    </w:p>
    <w:p w14:paraId="044DD989">
      <w:pPr>
        <w:pStyle w:val="132"/>
      </w:pPr>
      <w:r>
        <w:t>[1]</w:t>
      </w:r>
      <w:r>
        <w:tab/>
      </w:r>
      <w:r>
        <w:t>3GPP T</w:t>
      </w:r>
      <w:r>
        <w:rPr>
          <w:rFonts w:hint="eastAsia"/>
          <w:lang w:eastAsia="zh-CN"/>
        </w:rPr>
        <w:t>R</w:t>
      </w:r>
      <w:r>
        <w:t> 28.8</w:t>
      </w:r>
      <w:r>
        <w:rPr>
          <w:rFonts w:hint="eastAsia"/>
          <w:lang w:val="en-US" w:eastAsia="zh-CN"/>
        </w:rPr>
        <w:t>77</w:t>
      </w:r>
      <w:r>
        <w:t>-</w:t>
      </w:r>
      <w:r>
        <w:rPr>
          <w:rFonts w:hint="eastAsia"/>
          <w:lang w:val="en-US" w:eastAsia="zh-CN"/>
        </w:rPr>
        <w:t>j</w:t>
      </w:r>
      <w:r>
        <w:t>0</w:t>
      </w:r>
      <w:r>
        <w:rPr>
          <w:rFonts w:hint="eastAsia"/>
          <w:lang w:val="en-US" w:eastAsia="zh-CN"/>
        </w:rPr>
        <w:t>0</w:t>
      </w:r>
      <w:r>
        <w:t xml:space="preserve">: </w:t>
      </w:r>
      <w:r>
        <w:rPr>
          <w:rFonts w:hint="eastAsia"/>
        </w:rPr>
        <w:t>“Study on Enhancement of the management aspects related to Network Data Analytics Functions (NWDAF) Phase 2”</w:t>
      </w:r>
      <w:r>
        <w:t>.</w:t>
      </w:r>
    </w:p>
    <w:p w14:paraId="00ADAB5A">
      <w:pPr>
        <w:pStyle w:val="132"/>
      </w:pPr>
      <w:r>
        <w:t>[2]</w:t>
      </w:r>
      <w:r>
        <w:tab/>
      </w:r>
      <w:r>
        <w:t>3GPP TS 28.541-</w:t>
      </w:r>
      <w:r>
        <w:rPr>
          <w:rFonts w:hint="eastAsia"/>
          <w:lang w:val="en-US" w:eastAsia="zh-CN"/>
        </w:rPr>
        <w:t>j30</w:t>
      </w:r>
      <w:r>
        <w:t>: "Management and orchestration; 5G Network Resource Model (NRM); Stage 2 and stage 3".</w:t>
      </w:r>
    </w:p>
    <w:p w14:paraId="225DBF68">
      <w:pPr>
        <w:pStyle w:val="132"/>
      </w:pPr>
      <w:r>
        <w:t>[3]</w:t>
      </w:r>
      <w:r>
        <w:tab/>
      </w:r>
      <w:r>
        <w:t>3GPP TS 28.552-</w:t>
      </w:r>
      <w:r>
        <w:rPr>
          <w:rFonts w:hint="eastAsia"/>
          <w:lang w:val="en-US" w:eastAsia="zh-CN"/>
        </w:rPr>
        <w:t>j30</w:t>
      </w:r>
      <w:r>
        <w:t>: "Management and orchestration; 5G performance measurements".</w:t>
      </w:r>
    </w:p>
    <w:p w14:paraId="0113CC74">
      <w:pPr>
        <w:pStyle w:val="3"/>
      </w:pPr>
      <w:r>
        <w:t>3</w:t>
      </w:r>
      <w:r>
        <w:tab/>
      </w:r>
      <w:r>
        <w:t>Rationale</w:t>
      </w:r>
    </w:p>
    <w:p w14:paraId="0CD5790E">
      <w:pPr>
        <w:rPr>
          <w:lang w:eastAsia="zh-CN"/>
        </w:rPr>
      </w:pPr>
      <w:r>
        <w:rPr>
          <w:lang w:eastAsia="zh-CN"/>
        </w:rPr>
        <w:t xml:space="preserve">The work item </w:t>
      </w:r>
      <w:r>
        <w:rPr>
          <w:rFonts w:hint="eastAsia"/>
          <w:lang w:val="en-US" w:eastAsia="zh-CN"/>
        </w:rPr>
        <w:t xml:space="preserve">NWDAF_OAM_Ph2 </w:t>
      </w:r>
      <w:r>
        <w:rPr>
          <w:lang w:eastAsia="zh-CN"/>
        </w:rPr>
        <w:t>has been progressed with completion 100%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 xml:space="preserve">This contribution is to provide </w:t>
      </w:r>
      <w:r>
        <w:rPr>
          <w:rFonts w:hint="eastAsia"/>
          <w:lang w:val="en-US" w:eastAsia="zh-CN"/>
        </w:rPr>
        <w:t xml:space="preserve">a brief </w:t>
      </w:r>
      <w:r>
        <w:rPr>
          <w:lang w:eastAsia="zh-CN"/>
        </w:rPr>
        <w:t xml:space="preserve">WI summary for discussion. </w:t>
      </w:r>
    </w:p>
    <w:p w14:paraId="03B3D779">
      <w:pPr>
        <w:pStyle w:val="3"/>
      </w:pPr>
      <w:r>
        <w:t>4</w:t>
      </w:r>
      <w:r>
        <w:tab/>
      </w:r>
      <w:r>
        <w:t>Detailed proposal</w:t>
      </w:r>
    </w:p>
    <w:p w14:paraId="4E07DB6D">
      <w:pPr>
        <w:pStyle w:val="4"/>
        <w:rPr>
          <w:rFonts w:eastAsia="等线"/>
        </w:rPr>
      </w:pPr>
      <w:bookmarkStart w:id="0" w:name="_Toc100756569"/>
      <w:bookmarkStart w:id="1" w:name="_Toc16839376"/>
      <w:bookmarkStart w:id="2" w:name="_Toc21087538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bookmarkEnd w:id="0"/>
      <w:bookmarkEnd w:id="1"/>
      <w:bookmarkEnd w:id="2"/>
      <w:r>
        <w:t xml:space="preserve">WI </w:t>
      </w:r>
      <w:r>
        <w:rPr>
          <w:rFonts w:eastAsia="等线"/>
        </w:rPr>
        <w:t xml:space="preserve">summary for </w:t>
      </w:r>
      <w:r>
        <w:rPr>
          <w:rFonts w:hint="eastAsia" w:eastAsia="等线"/>
        </w:rPr>
        <w:t>Enhancement of Management Aspects Related of NWDAF Phase 2</w:t>
      </w:r>
    </w:p>
    <w:p w14:paraId="468E558A">
      <w:pPr>
        <w:spacing w:after="0"/>
        <w:rPr>
          <w:rFonts w:eastAsia="MS Mincho"/>
          <w:sz w:val="24"/>
          <w:szCs w:val="24"/>
          <w:highlight w:val="yellow"/>
          <w:lang w:eastAsia="en-GB"/>
        </w:rPr>
      </w:pPr>
      <w:bookmarkStart w:id="3" w:name="_Hlk94172402"/>
    </w:p>
    <w:p w14:paraId="7AB3A1D9">
      <w:pPr>
        <w:spacing w:after="0"/>
        <w:rPr>
          <w:rFonts w:eastAsia="MS Mincho"/>
          <w:color w:val="FF0000"/>
          <w:sz w:val="24"/>
          <w:szCs w:val="24"/>
          <w:lang w:eastAsia="en-GB"/>
        </w:rPr>
      </w:pPr>
    </w:p>
    <w:tbl>
      <w:tblPr>
        <w:tblStyle w:val="89"/>
        <w:tblW w:w="9498" w:type="dxa"/>
        <w:tblInd w:w="108" w:type="dxa"/>
        <w:tblBorders>
          <w:top w:val="none" w:color="auto" w:sz="0" w:space="0"/>
          <w:left w:val="none" w:color="auto" w:sz="0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000000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3045"/>
        <w:gridCol w:w="2328"/>
        <w:gridCol w:w="572"/>
        <w:gridCol w:w="1042"/>
        <w:gridCol w:w="1564"/>
      </w:tblGrid>
      <w:tr w14:paraId="3ABECC5A">
        <w:tblPrEx>
          <w:tblBorders>
            <w:top w:val="none" w:color="auto" w:sz="0" w:space="0"/>
            <w:left w:val="none" w:color="auto" w:sz="0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47" w:type="dxa"/>
            <w:tcBorders>
              <w:top w:val="single" w:color="auto" w:sz="8" w:space="0"/>
              <w:left w:val="single" w:color="auto" w:sz="8" w:space="0"/>
            </w:tcBorders>
            <w:shd w:val="clear" w:color="000000" w:fill="auto"/>
            <w:noWrap w:val="0"/>
            <w:vAlign w:val="top"/>
          </w:tcPr>
          <w:p w14:paraId="4AD4AA5A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lang w:eastAsia="en-GB"/>
              </w:rPr>
              <w:t>Unique ID</w:t>
            </w:r>
          </w:p>
        </w:tc>
        <w:tc>
          <w:tcPr>
            <w:tcW w:w="3045" w:type="dxa"/>
            <w:tcBorders>
              <w:top w:val="single" w:color="auto" w:sz="8" w:space="0"/>
            </w:tcBorders>
            <w:shd w:val="clear" w:color="000000" w:fill="auto"/>
            <w:noWrap w:val="0"/>
            <w:vAlign w:val="top"/>
          </w:tcPr>
          <w:p w14:paraId="4085168D">
            <w:pPr>
              <w:spacing w:after="0"/>
              <w:rPr>
                <w:rFonts w:eastAsia="Times New Roman"/>
                <w:b/>
                <w:bCs/>
                <w:color w:val="0000FF"/>
                <w:lang w:eastAsia="en-GB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lang w:eastAsia="en-GB"/>
              </w:rPr>
              <w:t>Name</w:t>
            </w:r>
          </w:p>
        </w:tc>
        <w:tc>
          <w:tcPr>
            <w:tcW w:w="2328" w:type="dxa"/>
            <w:tcBorders>
              <w:top w:val="single" w:color="auto" w:sz="8" w:space="0"/>
            </w:tcBorders>
            <w:shd w:val="clear" w:color="000000" w:fill="auto"/>
            <w:noWrap/>
            <w:vAlign w:val="top"/>
          </w:tcPr>
          <w:p w14:paraId="785AFF63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572" w:type="dxa"/>
            <w:tcBorders>
              <w:top w:val="single" w:color="auto" w:sz="8" w:space="0"/>
            </w:tcBorders>
            <w:shd w:val="clear" w:color="000000" w:fill="auto"/>
            <w:noWrap w:val="0"/>
            <w:vAlign w:val="top"/>
          </w:tcPr>
          <w:p w14:paraId="2F1E49FC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1042" w:type="dxa"/>
            <w:tcBorders>
              <w:top w:val="single" w:color="auto" w:sz="8" w:space="0"/>
            </w:tcBorders>
            <w:shd w:val="clear" w:color="000000" w:fill="auto"/>
            <w:noWrap w:val="0"/>
            <w:vAlign w:val="top"/>
          </w:tcPr>
          <w:p w14:paraId="67519036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564" w:type="dxa"/>
            <w:tcBorders>
              <w:top w:val="single" w:color="auto" w:sz="8" w:space="0"/>
            </w:tcBorders>
            <w:shd w:val="clear" w:color="000000" w:fill="auto"/>
            <w:noWrap w:val="0"/>
            <w:vAlign w:val="top"/>
          </w:tcPr>
          <w:p w14:paraId="4109F081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14:paraId="340B307D">
        <w:tblPrEx>
          <w:tblBorders>
            <w:top w:val="none" w:color="auto" w:sz="0" w:space="0"/>
            <w:left w:val="none" w:color="auto" w:sz="0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47" w:type="dxa"/>
            <w:tcBorders>
              <w:top w:val="single" w:color="auto" w:sz="8" w:space="0"/>
              <w:left w:val="single" w:color="auto" w:sz="8" w:space="0"/>
            </w:tcBorders>
            <w:shd w:val="clear" w:color="000000" w:fill="auto"/>
            <w:noWrap w:val="0"/>
            <w:vAlign w:val="top"/>
          </w:tcPr>
          <w:p w14:paraId="404BB329">
            <w:pPr>
              <w:spacing w:after="0"/>
              <w:rPr>
                <w:rFonts w:hint="eastAsia" w:eastAsia="Times New Roman"/>
                <w:b/>
                <w:bCs/>
                <w:color w:val="000000"/>
                <w:lang w:eastAsia="en-GB"/>
              </w:rPr>
            </w:pPr>
            <w:r>
              <w:rPr>
                <w:rFonts w:hint="eastAsia" w:eastAsia="Times New Roman"/>
                <w:b/>
                <w:bCs/>
                <w:color w:val="000000"/>
                <w:lang w:eastAsia="en-GB"/>
              </w:rPr>
              <w:t>1050031</w:t>
            </w:r>
          </w:p>
        </w:tc>
        <w:tc>
          <w:tcPr>
            <w:tcW w:w="3045" w:type="dxa"/>
            <w:shd w:val="clear" w:color="000000" w:fill="auto"/>
            <w:noWrap w:val="0"/>
            <w:vAlign w:val="top"/>
          </w:tcPr>
          <w:p w14:paraId="7DFEDA52">
            <w:pPr>
              <w:spacing w:after="0"/>
              <w:rPr>
                <w:rFonts w:eastAsia="Times New Roman"/>
                <w:b/>
                <w:bCs/>
                <w:color w:val="0000FF"/>
                <w:lang w:eastAsia="en-GB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lang w:eastAsia="en-GB"/>
              </w:rPr>
              <w:t>Enhancement of Management Aspects Related of NWDAF Phase 2</w:t>
            </w:r>
          </w:p>
        </w:tc>
        <w:tc>
          <w:tcPr>
            <w:tcW w:w="2328" w:type="dxa"/>
            <w:shd w:val="clear" w:color="000000" w:fill="auto"/>
            <w:noWrap/>
            <w:vAlign w:val="top"/>
          </w:tcPr>
          <w:p w14:paraId="4FB26FE9">
            <w:pPr>
              <w:spacing w:after="0"/>
              <w:rPr>
                <w:rFonts w:eastAsia="等线"/>
                <w:b/>
                <w:bCs/>
                <w:color w:val="000000"/>
                <w:lang w:eastAsia="zh-CN"/>
              </w:rPr>
            </w:pPr>
            <w:r>
              <w:rPr>
                <w:rFonts w:hint="eastAsia" w:eastAsia="等线"/>
                <w:b/>
                <w:bCs/>
                <w:color w:val="000000"/>
                <w:lang w:eastAsia="zh-CN"/>
              </w:rPr>
              <w:t>NWDAF_OAM_Ph2</w:t>
            </w:r>
          </w:p>
        </w:tc>
        <w:tc>
          <w:tcPr>
            <w:tcW w:w="572" w:type="dxa"/>
            <w:shd w:val="clear" w:color="000000" w:fill="auto"/>
            <w:noWrap w:val="0"/>
            <w:vAlign w:val="top"/>
          </w:tcPr>
          <w:p w14:paraId="6B3EE7EB">
            <w:pPr>
              <w:spacing w:after="0"/>
              <w:rPr>
                <w:rFonts w:eastAsia="Times New Roman"/>
                <w:color w:val="000000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lang w:eastAsia="en-GB"/>
              </w:rPr>
              <w:t>S5</w:t>
            </w:r>
          </w:p>
        </w:tc>
        <w:tc>
          <w:tcPr>
            <w:tcW w:w="1042" w:type="dxa"/>
            <w:shd w:val="clear" w:color="000000" w:fill="auto"/>
            <w:noWrap w:val="0"/>
            <w:vAlign w:val="top"/>
          </w:tcPr>
          <w:p w14:paraId="1ACA5097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hint="eastAsia" w:eastAsia="Times New Roman"/>
                <w:b/>
                <w:bCs/>
                <w:color w:val="000000"/>
                <w:lang w:eastAsia="en-GB"/>
              </w:rPr>
              <w:t>SP-241378</w:t>
            </w:r>
          </w:p>
        </w:tc>
        <w:tc>
          <w:tcPr>
            <w:tcW w:w="1564" w:type="dxa"/>
            <w:shd w:val="clear" w:color="000000" w:fill="auto"/>
            <w:noWrap w:val="0"/>
            <w:vAlign w:val="top"/>
          </w:tcPr>
          <w:p w14:paraId="2FC24EDB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hint="eastAsia" w:eastAsia="Times New Roman"/>
                <w:b/>
                <w:bCs/>
                <w:color w:val="000000"/>
                <w:lang w:eastAsia="en-GB"/>
              </w:rPr>
              <w:t>ZHAO, Song, China Telecom</w:t>
            </w:r>
          </w:p>
        </w:tc>
      </w:tr>
      <w:tr w14:paraId="5AD0A1B3">
        <w:tblPrEx>
          <w:tblBorders>
            <w:top w:val="none" w:color="auto" w:sz="0" w:space="0"/>
            <w:left w:val="none" w:color="auto" w:sz="0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47" w:type="dxa"/>
            <w:tcBorders>
              <w:top w:val="single" w:color="auto" w:sz="8" w:space="0"/>
              <w:left w:val="single" w:color="auto" w:sz="8" w:space="0"/>
            </w:tcBorders>
            <w:shd w:val="clear" w:color="000000" w:fill="auto"/>
            <w:noWrap w:val="0"/>
            <w:vAlign w:val="top"/>
          </w:tcPr>
          <w:p w14:paraId="26512394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hint="eastAsia" w:eastAsia="Times New Roman"/>
                <w:b/>
                <w:bCs/>
                <w:color w:val="000000"/>
                <w:lang w:eastAsia="en-GB"/>
              </w:rPr>
              <w:t>1020020</w:t>
            </w:r>
          </w:p>
        </w:tc>
        <w:tc>
          <w:tcPr>
            <w:tcW w:w="3045" w:type="dxa"/>
            <w:shd w:val="clear" w:color="000000" w:fill="auto"/>
            <w:noWrap w:val="0"/>
            <w:vAlign w:val="top"/>
          </w:tcPr>
          <w:p w14:paraId="26324CB9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hint="eastAsia" w:eastAsia="Times New Roman"/>
                <w:b/>
                <w:bCs/>
                <w:color w:val="000000"/>
                <w:lang w:eastAsia="en-GB"/>
              </w:rPr>
              <w:t>Study on Enhancement of Management Aspects related to NWDAF Phase 2</w:t>
            </w:r>
          </w:p>
        </w:tc>
        <w:tc>
          <w:tcPr>
            <w:tcW w:w="2328" w:type="dxa"/>
            <w:shd w:val="clear" w:color="000000" w:fill="auto"/>
            <w:noWrap/>
            <w:vAlign w:val="top"/>
          </w:tcPr>
          <w:p w14:paraId="0D838CBC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hint="eastAsia" w:eastAsia="Times New Roman"/>
                <w:b/>
                <w:bCs/>
                <w:color w:val="000000"/>
                <w:lang w:eastAsia="en-GB"/>
              </w:rPr>
              <w:t>FS_NWDAF_OAM_Ph2</w:t>
            </w:r>
          </w:p>
        </w:tc>
        <w:tc>
          <w:tcPr>
            <w:tcW w:w="572" w:type="dxa"/>
            <w:shd w:val="clear" w:color="000000" w:fill="auto"/>
            <w:noWrap w:val="0"/>
            <w:vAlign w:val="top"/>
          </w:tcPr>
          <w:p w14:paraId="622F7523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lang w:eastAsia="en-GB"/>
              </w:rPr>
              <w:t>S5</w:t>
            </w:r>
          </w:p>
        </w:tc>
        <w:tc>
          <w:tcPr>
            <w:tcW w:w="1042" w:type="dxa"/>
            <w:shd w:val="clear" w:color="000000" w:fill="auto"/>
            <w:noWrap w:val="0"/>
            <w:vAlign w:val="top"/>
          </w:tcPr>
          <w:p w14:paraId="09DEB079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hint="eastAsia" w:eastAsia="Times New Roman"/>
                <w:b/>
                <w:bCs/>
                <w:color w:val="000000"/>
                <w:lang w:eastAsia="en-GB"/>
              </w:rPr>
              <w:t>SP-231724</w:t>
            </w:r>
          </w:p>
        </w:tc>
        <w:tc>
          <w:tcPr>
            <w:tcW w:w="1564" w:type="dxa"/>
            <w:shd w:val="clear" w:color="000000" w:fill="auto"/>
            <w:noWrap w:val="0"/>
            <w:vAlign w:val="top"/>
          </w:tcPr>
          <w:p w14:paraId="3CF573A6">
            <w:pPr>
              <w:spacing w:after="0"/>
              <w:rPr>
                <w:rFonts w:eastAsia="Times New Roman"/>
                <w:b/>
                <w:bCs/>
                <w:color w:val="000000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lang w:eastAsia="en-GB"/>
              </w:rPr>
              <w:t>ZHAO, Song, China Telecom</w:t>
            </w:r>
          </w:p>
        </w:tc>
      </w:tr>
    </w:tbl>
    <w:p w14:paraId="1B214A4D">
      <w:pPr>
        <w:spacing w:after="0"/>
        <w:rPr>
          <w:rFonts w:eastAsia="MS Mincho"/>
          <w:sz w:val="24"/>
          <w:szCs w:val="24"/>
          <w:lang w:eastAsia="en-GB"/>
        </w:rPr>
      </w:pPr>
    </w:p>
    <w:p w14:paraId="6B844D6B">
      <w:pPr>
        <w:spacing w:after="0"/>
        <w:rPr>
          <w:rFonts w:eastAsia="MS Mincho"/>
          <w:b/>
          <w:sz w:val="24"/>
          <w:szCs w:val="24"/>
          <w:lang w:eastAsia="ja-JP"/>
        </w:rPr>
      </w:pPr>
      <w:r>
        <w:rPr>
          <w:rFonts w:eastAsia="MS Mincho"/>
          <w:b/>
          <w:sz w:val="24"/>
          <w:szCs w:val="24"/>
          <w:lang w:eastAsia="ja-JP"/>
        </w:rPr>
        <w:t>Introduction</w:t>
      </w:r>
    </w:p>
    <w:p w14:paraId="3CE6441F">
      <w:pPr>
        <w:spacing w:after="0"/>
        <w:rPr>
          <w:rFonts w:eastAsia="MS Mincho"/>
          <w:sz w:val="24"/>
          <w:szCs w:val="24"/>
          <w:lang w:eastAsia="ja-JP"/>
        </w:rPr>
      </w:pPr>
      <w:r>
        <w:rPr>
          <w:rFonts w:hint="eastAsia" w:eastAsia="宋体"/>
          <w:lang w:val="en-US" w:eastAsia="zh-CN"/>
        </w:rPr>
        <w:t xml:space="preserve">This work item is the </w:t>
      </w:r>
      <w:r>
        <w:rPr>
          <w:rFonts w:hint="eastAsia"/>
          <w:lang w:val="en-US" w:eastAsia="zh-CN"/>
        </w:rPr>
        <w:t xml:space="preserve">phase two </w:t>
      </w:r>
      <w:r>
        <w:rPr>
          <w:rFonts w:hint="eastAsia" w:eastAsia="宋体"/>
          <w:lang w:val="en-US" w:eastAsia="zh-CN"/>
        </w:rPr>
        <w:t xml:space="preserve">work on the </w:t>
      </w:r>
      <w:r>
        <w:rPr>
          <w:rFonts w:hint="eastAsia"/>
          <w:lang w:val="en-US" w:eastAsia="zh-CN"/>
        </w:rPr>
        <w:t xml:space="preserve">enhancement of </w:t>
      </w:r>
      <w:r>
        <w:rPr>
          <w:rFonts w:hint="eastAsia" w:eastAsia="宋体"/>
          <w:lang w:val="en-US" w:eastAsia="zh-CN"/>
        </w:rPr>
        <w:t xml:space="preserve">management aspects related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 w:eastAsia="宋体"/>
          <w:lang w:val="en-US" w:eastAsia="zh-CN"/>
        </w:rPr>
        <w:t>NWDAF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 xml:space="preserve">It is based on the </w:t>
      </w:r>
      <w:r>
        <w:rPr>
          <w:rFonts w:hint="eastAsia"/>
          <w:lang w:val="en-US" w:eastAsia="zh-CN"/>
        </w:rPr>
        <w:t xml:space="preserve">discussion outlined </w:t>
      </w:r>
      <w:r>
        <w:rPr>
          <w:rFonts w:hint="eastAsia" w:eastAsia="宋体"/>
          <w:lang w:val="en-US" w:eastAsia="zh-CN"/>
        </w:rPr>
        <w:t>in TR 28.8</w:t>
      </w:r>
      <w:r>
        <w:rPr>
          <w:rFonts w:hint="eastAsia"/>
          <w:lang w:val="en-US" w:eastAsia="zh-CN"/>
        </w:rPr>
        <w:t>7</w:t>
      </w:r>
      <w:r>
        <w:rPr>
          <w:rFonts w:hint="eastAsia"/>
          <w:highlight w:val="none"/>
          <w:lang w:val="en-US" w:eastAsia="zh-CN"/>
        </w:rPr>
        <w:t>7</w:t>
      </w:r>
      <w:r>
        <w:rPr>
          <w:rFonts w:hint="eastAsia" w:eastAsia="宋体"/>
          <w:highlight w:val="none"/>
          <w:lang w:val="en-US" w:eastAsia="zh-CN"/>
        </w:rPr>
        <w:t>[1]</w:t>
      </w:r>
      <w:r>
        <w:rPr>
          <w:rFonts w:hint="eastAsia"/>
          <w:highlight w:val="none"/>
          <w:lang w:val="en-US" w:eastAsia="zh-CN"/>
        </w:rPr>
        <w:t xml:space="preserve">, </w:t>
      </w:r>
      <w:r>
        <w:rPr>
          <w:rFonts w:hint="eastAsia" w:eastAsia="宋体"/>
          <w:highlight w:val="none"/>
          <w:lang w:val="en-US" w:eastAsia="zh-CN"/>
        </w:rPr>
        <w:t>w</w:t>
      </w:r>
      <w:r>
        <w:rPr>
          <w:rFonts w:hint="eastAsia" w:eastAsia="宋体"/>
          <w:lang w:val="en-US" w:eastAsia="zh-CN"/>
        </w:rPr>
        <w:t xml:space="preserve">hich </w:t>
      </w:r>
      <w:r>
        <w:rPr>
          <w:rFonts w:hint="eastAsia"/>
          <w:lang w:val="en-US" w:eastAsia="zh-CN"/>
        </w:rPr>
        <w:t xml:space="preserve">studies </w:t>
      </w:r>
      <w:r>
        <w:rPr>
          <w:rFonts w:hint="eastAsia" w:eastAsia="宋体"/>
          <w:lang w:val="en-US" w:eastAsia="zh-CN"/>
        </w:rPr>
        <w:t xml:space="preserve">the potential management enhancements </w:t>
      </w:r>
      <w:r>
        <w:rPr>
          <w:rFonts w:hint="eastAsia"/>
          <w:lang w:val="en-US" w:eastAsia="zh-CN"/>
        </w:rPr>
        <w:t xml:space="preserve">on 2 selected aspects related to the NWDAF deployed </w:t>
      </w:r>
      <w:r>
        <w:rPr>
          <w:rFonts w:hint="eastAsia" w:eastAsia="宋体"/>
          <w:lang w:val="en-US" w:eastAsia="zh-CN"/>
        </w:rPr>
        <w:t>in the system.</w:t>
      </w:r>
    </w:p>
    <w:p w14:paraId="1321F5AF">
      <w:pPr>
        <w:spacing w:before="120" w:after="0"/>
        <w:rPr>
          <w:rFonts w:eastAsia="MS Mincho"/>
          <w:sz w:val="24"/>
          <w:szCs w:val="24"/>
          <w:lang w:eastAsia="ja-JP"/>
        </w:rPr>
      </w:pPr>
    </w:p>
    <w:p w14:paraId="19EAD3E0">
      <w:pPr>
        <w:spacing w:after="0"/>
        <w:rPr>
          <w:rFonts w:ascii="Times New Roman" w:hAnsi="Times New Roman" w:eastAsia="MS Mincho" w:cs="Times New Roman"/>
          <w:b/>
          <w:sz w:val="24"/>
          <w:szCs w:val="24"/>
          <w:lang w:eastAsia="ja-JP"/>
        </w:rPr>
      </w:pPr>
      <w:r>
        <w:rPr>
          <w:rFonts w:ascii="Times New Roman" w:hAnsi="Times New Roman" w:eastAsia="MS Mincho" w:cs="Times New Roman"/>
          <w:b/>
          <w:sz w:val="24"/>
          <w:szCs w:val="24"/>
          <w:lang w:eastAsia="ja-JP"/>
        </w:rPr>
        <w:t>Description</w:t>
      </w:r>
    </w:p>
    <w:p w14:paraId="19EAD3E0">
      <w:pPr>
        <w:spacing w:after="0"/>
        <w:rPr>
          <w:rFonts w:hint="default" w:ascii="Times New Roman" w:hAnsi="Times New Roman" w:eastAsia="宋体" w:cs="Times New Roman"/>
          <w:i w:val="0"/>
          <w:iCs/>
          <w:color w:val="000000"/>
        </w:rPr>
      </w:pPr>
      <w:bookmarkStart w:id="4" w:name="_GoBack"/>
      <w:bookmarkEnd w:id="4"/>
      <w:r>
        <w:rPr>
          <w:rFonts w:hint="default" w:ascii="Times New Roman" w:hAnsi="Times New Roman" w:cs="Times New Roman"/>
          <w:i w:val="0"/>
          <w:iCs/>
          <w:color w:val="000000"/>
        </w:rPr>
        <w:t xml:space="preserve">The </w:t>
      </w:r>
      <w:r>
        <w:rPr>
          <w:rFonts w:hint="eastAsia" w:ascii="Times New Roman" w:hAnsi="Times New Roman" w:cs="Times New Roman"/>
          <w:i w:val="0"/>
          <w:iCs/>
          <w:color w:val="000000"/>
          <w:lang w:val="en-US" w:eastAsia="zh-CN"/>
        </w:rPr>
        <w:t>first</w:t>
      </w:r>
      <w:r>
        <w:rPr>
          <w:rFonts w:hint="eastAsia" w:cs="Times New Roman"/>
          <w:i w:val="0"/>
          <w:iCs/>
          <w:color w:val="000000"/>
          <w:lang w:val="en-US" w:eastAsia="zh-CN"/>
        </w:rPr>
        <w:t xml:space="preserve"> aspect covered by this work item is the </w:t>
      </w:r>
      <w:r>
        <w:rPr>
          <w:rFonts w:hint="default" w:ascii="Times New Roman" w:hAnsi="Times New Roman" w:cs="Times New Roman"/>
          <w:i w:val="0"/>
          <w:iCs/>
          <w:color w:val="000000"/>
        </w:rPr>
        <w:t xml:space="preserve">enhancement </w:t>
      </w:r>
      <w:r>
        <w:rPr>
          <w:rFonts w:hint="eastAsia" w:ascii="Times New Roman" w:hAnsi="Times New Roman" w:cs="Times New Roman"/>
          <w:i w:val="0"/>
          <w:iCs/>
          <w:color w:val="000000"/>
          <w:lang w:val="en-US" w:eastAsia="zh-CN"/>
        </w:rPr>
        <w:t xml:space="preserve">to support </w:t>
      </w:r>
      <w:r>
        <w:rPr>
          <w:rFonts w:hint="default" w:ascii="Times New Roman" w:hAnsi="Times New Roman" w:cs="Times New Roman"/>
          <w:i w:val="0"/>
          <w:iCs/>
          <w:color w:val="000000"/>
        </w:rPr>
        <w:t xml:space="preserve">NWDAF Roaming Exchange Capability </w:t>
      </w:r>
      <w:r>
        <w:rPr>
          <w:rFonts w:hint="eastAsia" w:ascii="Times New Roman" w:hAnsi="Times New Roman" w:cs="Times New Roman"/>
          <w:i w:val="0"/>
          <w:iCs/>
          <w:color w:val="000000"/>
          <w:lang w:val="en-US" w:eastAsia="zh-CN"/>
        </w:rPr>
        <w:t xml:space="preserve">for NWDAFs deployed in </w:t>
      </w:r>
      <w:r>
        <w:rPr>
          <w:rFonts w:hint="eastAsia" w:cs="Times New Roman"/>
          <w:i w:val="0"/>
          <w:iCs/>
          <w:color w:val="000000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i w:val="0"/>
          <w:iCs/>
          <w:color w:val="000000"/>
        </w:rPr>
        <w:t>roaming</w:t>
      </w:r>
      <w:r>
        <w:rPr>
          <w:rFonts w:hint="eastAsia" w:ascii="Times New Roman" w:hAnsi="Times New Roman" w:eastAsia="宋体" w:cs="Times New Roman"/>
          <w:i w:val="0"/>
          <w:iCs/>
          <w:color w:val="000000"/>
        </w:rPr>
        <w:t xml:space="preserve"> </w:t>
      </w:r>
      <w:r>
        <w:rPr>
          <w:rFonts w:hint="default" w:ascii="Times New Roman" w:hAnsi="Times New Roman" w:cs="Times New Roman"/>
          <w:i w:val="0"/>
          <w:iCs/>
          <w:color w:val="000000"/>
        </w:rPr>
        <w:t>scenario</w:t>
      </w:r>
      <w:r>
        <w:rPr>
          <w:rFonts w:hint="default" w:ascii="Times New Roman" w:hAnsi="Times New Roman" w:eastAsia="宋体" w:cs="Times New Roman"/>
          <w:i w:val="0"/>
          <w:iCs/>
          <w:color w:val="000000"/>
        </w:rPr>
        <w:t xml:space="preserve">. </w:t>
      </w:r>
      <w:r>
        <w:rPr>
          <w:rFonts w:hint="eastAsia" w:cs="Times New Roman"/>
          <w:i w:val="0"/>
          <w:iCs/>
          <w:color w:val="000000"/>
          <w:lang w:val="en-US" w:eastAsia="zh-CN"/>
        </w:rPr>
        <w:t xml:space="preserve">An </w:t>
      </w:r>
      <w:r>
        <w:rPr>
          <w:rFonts w:hint="default" w:ascii="Times New Roman" w:hAnsi="Times New Roman" w:eastAsia="宋体" w:cs="Times New Roman"/>
          <w:i w:val="0"/>
          <w:iCs/>
          <w:color w:val="000000"/>
        </w:rPr>
        <w:t xml:space="preserve">NWDAF registered with roaming exchange capability (RE-NWDAF) may be discovered and used by other NWDAFs as an entry point </w:t>
      </w:r>
      <w:r>
        <w:rPr>
          <w:rFonts w:hint="eastAsia" w:cs="Times New Roman"/>
          <w:i w:val="0"/>
          <w:iCs/>
          <w:color w:val="000000"/>
          <w:lang w:val="en-US" w:eastAsia="zh-CN"/>
        </w:rPr>
        <w:t>to</w:t>
      </w:r>
      <w:r>
        <w:rPr>
          <w:rFonts w:hint="default" w:ascii="Times New Roman" w:hAnsi="Times New Roman" w:eastAsia="宋体" w:cs="Times New Roman"/>
          <w:i w:val="0"/>
          <w:iCs/>
          <w:color w:val="000000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>exchange analytics and data with other PLMN</w:t>
      </w:r>
      <w:r>
        <w:rPr>
          <w:rFonts w:hint="eastAsia"/>
          <w:i w:val="0"/>
          <w:iCs/>
        </w:rPr>
        <w:t>s.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</w:p>
    <w:p w14:paraId="5691A29C">
      <w:pPr>
        <w:pStyle w:val="168"/>
        <w:keepNext w:val="0"/>
        <w:keepLines w:val="0"/>
        <w:widowControl/>
        <w:suppressLineNumbers w:val="0"/>
        <w:spacing w:before="0" w:beforeAutospacing="1"/>
        <w:ind w:left="0" w:right="0"/>
        <w:rPr>
          <w:rFonts w:hint="eastAsia"/>
          <w:i w:val="0"/>
          <w:iCs/>
          <w:lang w:val="en-US" w:eastAsia="zh-CN"/>
        </w:rPr>
      </w:pPr>
      <w:r>
        <w:rPr>
          <w:rFonts w:hint="eastAsia" w:cs="Times New Roman"/>
          <w:i w:val="0"/>
          <w:iCs/>
          <w:color w:val="000000"/>
          <w:lang w:val="en-US" w:eastAsia="zh-CN"/>
        </w:rPr>
        <w:t>In order to provide the CM on the roaming exchange capabil</w:t>
      </w:r>
      <w:r>
        <w:rPr>
          <w:rFonts w:hint="eastAsia" w:cs="Times New Roman"/>
          <w:i w:val="0"/>
          <w:iCs/>
          <w:color w:val="000000"/>
          <w:highlight w:val="none"/>
          <w:lang w:val="en-US" w:eastAsia="zh-CN"/>
        </w:rPr>
        <w:t xml:space="preserve">ity of the NWDAF, the IOC of </w:t>
      </w:r>
      <w:r>
        <w:rPr>
          <w:highlight w:val="none"/>
          <w:lang w:eastAsia="zh-CN"/>
        </w:rPr>
        <w:t>"</w:t>
      </w:r>
      <w:r>
        <w:rPr>
          <w:rFonts w:ascii="Courier New" w:hAnsi="Courier New"/>
          <w:highlight w:val="none"/>
        </w:rPr>
        <w:t>NWDAFFunction</w:t>
      </w:r>
      <w:r>
        <w:rPr>
          <w:highlight w:val="none"/>
          <w:lang w:eastAsia="zh-CN"/>
        </w:rPr>
        <w:t>"</w:t>
      </w:r>
      <w:r>
        <w:rPr>
          <w:rFonts w:hint="eastAsia"/>
          <w:highlight w:val="none"/>
          <w:lang w:val="en-US" w:eastAsia="zh-CN"/>
        </w:rPr>
        <w:t xml:space="preserve"> and the </w:t>
      </w:r>
      <w:r>
        <w:rPr>
          <w:rFonts w:hint="eastAsia"/>
          <w:i w:val="0"/>
          <w:iCs/>
          <w:highlight w:val="none"/>
          <w:lang w:val="en-US" w:eastAsia="zh-CN"/>
        </w:rPr>
        <w:t>data types of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eastAsia="zh-CN"/>
        </w:rPr>
        <w:t>"</w:t>
      </w:r>
      <w:r>
        <w:rPr>
          <w:rFonts w:ascii="Courier New" w:hAnsi="Courier New"/>
          <w:highlight w:val="none"/>
        </w:rPr>
        <w:t>NwdafCapability</w:t>
      </w:r>
      <w:r>
        <w:rPr>
          <w:highlight w:val="none"/>
          <w:lang w:eastAsia="zh-CN"/>
        </w:rPr>
        <w:t>"</w:t>
      </w:r>
      <w:r>
        <w:rPr>
          <w:rFonts w:hint="eastAsia"/>
          <w:i w:val="0"/>
          <w:iCs/>
          <w:highlight w:val="none"/>
          <w:lang w:val="en-US" w:eastAsia="zh-CN"/>
        </w:rPr>
        <w:t xml:space="preserve"> and </w:t>
      </w:r>
      <w:r>
        <w:rPr>
          <w:highlight w:val="none"/>
          <w:lang w:eastAsia="zh-CN"/>
        </w:rPr>
        <w:t>"</w:t>
      </w:r>
      <w:r>
        <w:rPr>
          <w:rFonts w:ascii="Courier New" w:hAnsi="Courier New" w:cs="Times New Roman"/>
          <w:color w:val="000000"/>
          <w:highlight w:val="none"/>
          <w:lang w:eastAsia="zh-CN"/>
        </w:rPr>
        <w:t>NWDAF</w:t>
      </w:r>
      <w:r>
        <w:rPr>
          <w:rFonts w:hint="eastAsia" w:ascii="Courier New" w:hAnsi="Courier New" w:cs="Times New Roman"/>
          <w:color w:val="000000"/>
          <w:highlight w:val="none"/>
          <w:lang w:val="en-US" w:eastAsia="zh-CN"/>
        </w:rPr>
        <w:t>Info</w:t>
      </w:r>
      <w:r>
        <w:rPr>
          <w:highlight w:val="none"/>
          <w:lang w:eastAsia="zh-CN"/>
        </w:rPr>
        <w:t>"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i w:val="0"/>
          <w:iCs/>
          <w:highlight w:val="none"/>
          <w:lang w:val="en-US" w:eastAsia="zh-CN"/>
        </w:rPr>
        <w:t>are updated in TS 28.541[2]. With these enhancements, the operators can configure the behavior of the NWDAFs, i.e. the exchange of analytic ex</w:t>
      </w:r>
      <w:r>
        <w:rPr>
          <w:rFonts w:hint="eastAsia"/>
          <w:i w:val="0"/>
          <w:iCs/>
          <w:lang w:val="en-US" w:eastAsia="zh-CN"/>
        </w:rPr>
        <w:t xml:space="preserve">posure information and related data, towards the other PLMNs belonging to different MNOs. </w:t>
      </w:r>
    </w:p>
    <w:p w14:paraId="470ED849">
      <w:pPr>
        <w:pStyle w:val="168"/>
        <w:keepNext w:val="0"/>
        <w:keepLines w:val="0"/>
        <w:widowControl/>
        <w:suppressLineNumbers w:val="0"/>
        <w:spacing w:before="0" w:beforeAutospacing="1"/>
        <w:ind w:left="0" w:right="0"/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And more specifically, </w:t>
      </w:r>
      <w:r>
        <w:rPr>
          <w:rFonts w:hint="eastAsia" w:ascii="Times New Roman" w:hAnsi="Times New Roman" w:cs="Times New Roman"/>
          <w:i w:val="0"/>
          <w:iCs/>
          <w:color w:val="000000"/>
          <w:lang w:val="en-US" w:eastAsia="zh-CN"/>
        </w:rPr>
        <w:t xml:space="preserve">when the NWDAF is </w:t>
      </w:r>
      <w:r>
        <w:rPr>
          <w:rFonts w:hint="eastAsia"/>
          <w:i w:val="0"/>
          <w:iCs/>
          <w:lang w:val="en-US" w:eastAsia="zh-CN"/>
        </w:rPr>
        <w:t xml:space="preserve">configured by the </w:t>
      </w:r>
      <w:r>
        <w:rPr>
          <w:rFonts w:hint="eastAsia" w:ascii="Courier New" w:hAnsi="Courier New" w:cs="Courier New"/>
          <w:lang w:eastAsia="zh-CN"/>
        </w:rPr>
        <w:t>r</w:t>
      </w:r>
      <w:r>
        <w:rPr>
          <w:rFonts w:ascii="Courier New" w:hAnsi="Courier New" w:cs="Courier New"/>
          <w:lang w:eastAsia="zh-CN"/>
        </w:rPr>
        <w:t>oamingAnalytics</w:t>
      </w:r>
      <w:r>
        <w:rPr>
          <w:rFonts w:hint="eastAsia" w:ascii="Times New Roman" w:hAnsi="Times New Roman" w:cs="Times New Roman"/>
          <w:i w:val="0"/>
          <w:iCs/>
          <w:color w:val="000000"/>
          <w:lang w:val="en-US" w:eastAsia="zh-CN"/>
        </w:rPr>
        <w:t xml:space="preserve"> attributes to support </w:t>
      </w:r>
      <w:r>
        <w:rPr>
          <w:rFonts w:hint="eastAsia"/>
          <w:i w:val="0"/>
          <w:iCs/>
        </w:rPr>
        <w:t>Nnwdaf_RoamingAnalytic</w:t>
      </w:r>
      <w:r>
        <w:rPr>
          <w:rFonts w:hint="eastAsia"/>
          <w:i w:val="0"/>
          <w:iCs/>
          <w:lang w:val="en-US" w:eastAsia="zh-CN"/>
        </w:rPr>
        <w:t>s services in the roaming scenario</w:t>
      </w:r>
      <w:r>
        <w:rPr>
          <w:rFonts w:hint="eastAsia" w:ascii="Times New Roman" w:hAnsi="Times New Roman" w:cs="Times New Roman"/>
          <w:i w:val="0"/>
          <w:iCs/>
          <w:color w:val="000000"/>
          <w:lang w:val="en-US" w:eastAsia="zh-CN"/>
        </w:rPr>
        <w:t xml:space="preserve">, </w:t>
      </w:r>
      <w:r>
        <w:rPr>
          <w:rFonts w:hint="eastAsia"/>
          <w:i w:val="0"/>
          <w:iCs/>
          <w:lang w:val="en-US" w:eastAsia="zh-CN"/>
        </w:rPr>
        <w:t xml:space="preserve">a series of performance measurements are provided in TS 28.552, reflecting the number, the time consumption,and the failure rate of the </w:t>
      </w:r>
      <w:r>
        <w:rPr>
          <w:rFonts w:hint="eastAsia"/>
          <w:i w:val="0"/>
          <w:iCs/>
        </w:rPr>
        <w:t>Nnwdaf_RoamingAnalytic</w:t>
      </w:r>
      <w:r>
        <w:rPr>
          <w:rFonts w:hint="eastAsia"/>
          <w:i w:val="0"/>
          <w:iCs/>
          <w:lang w:val="en-US" w:eastAsia="zh-CN"/>
        </w:rPr>
        <w:t>s services invoked.</w:t>
      </w:r>
    </w:p>
    <w:p w14:paraId="4D83D4B8">
      <w:pPr>
        <w:pStyle w:val="168"/>
        <w:rPr>
          <w:rFonts w:hint="default"/>
          <w:b w:val="0"/>
          <w:bCs w:val="0"/>
          <w:i w:val="0"/>
          <w:iCs/>
          <w:lang w:val="en-US" w:eastAsia="zh-CN"/>
        </w:rPr>
      </w:pPr>
      <w:r>
        <w:rPr>
          <w:rFonts w:hint="eastAsia" w:cs="Times New Roman"/>
          <w:i w:val="0"/>
          <w:iCs/>
          <w:color w:val="000000"/>
          <w:lang w:val="en-US" w:eastAsia="zh-CN"/>
        </w:rPr>
        <w:t>T</w:t>
      </w:r>
      <w:r>
        <w:rPr>
          <w:rFonts w:hint="eastAsia" w:cs="Times New Roman"/>
          <w:b w:val="0"/>
          <w:bCs w:val="0"/>
          <w:i w:val="0"/>
          <w:iCs/>
          <w:color w:val="000000"/>
          <w:lang w:val="en-US" w:eastAsia="zh-CN"/>
        </w:rPr>
        <w:t>he 2</w:t>
      </w:r>
      <w:r>
        <w:rPr>
          <w:rFonts w:hint="eastAsia" w:cs="Times New Roman"/>
          <w:b w:val="0"/>
          <w:bCs w:val="0"/>
          <w:i w:val="0"/>
          <w:iCs/>
          <w:color w:val="000000"/>
          <w:vertAlign w:val="superscript"/>
          <w:lang w:val="en-US" w:eastAsia="zh-CN"/>
        </w:rPr>
        <w:t>nd</w:t>
      </w:r>
      <w:r>
        <w:rPr>
          <w:rFonts w:hint="eastAsia" w:cs="Times New Roman"/>
          <w:b w:val="0"/>
          <w:bCs w:val="0"/>
          <w:i w:val="0"/>
          <w:iCs/>
          <w:color w:val="000000"/>
          <w:lang w:val="en-US" w:eastAsia="zh-CN"/>
        </w:rPr>
        <w:t xml:space="preserve"> aspect is management enhancement related to the </w:t>
      </w:r>
      <w:r>
        <w:rPr>
          <w:rFonts w:hint="eastAsia"/>
          <w:b w:val="0"/>
          <w:bCs w:val="0"/>
          <w:i w:val="0"/>
          <w:iCs/>
        </w:rPr>
        <w:t>NWDAF data collection</w:t>
      </w:r>
      <w:r>
        <w:rPr>
          <w:rFonts w:hint="eastAsia"/>
          <w:b w:val="0"/>
          <w:bCs w:val="0"/>
          <w:i w:val="0"/>
          <w:iCs/>
          <w:lang w:val="en-US" w:eastAsia="zh-CN"/>
        </w:rPr>
        <w:t>. New performance measurements are provided in TS 28.552:</w:t>
      </w:r>
    </w:p>
    <w:p w14:paraId="7E69B8EB">
      <w:pPr>
        <w:pStyle w:val="168"/>
        <w:rPr>
          <w:rFonts w:hint="eastAsia" w:eastAsia="宋体"/>
          <w:i w:val="0"/>
          <w:iCs/>
          <w:lang w:val="en-US" w:eastAsia="zh-CN"/>
        </w:rPr>
      </w:pPr>
      <w:r>
        <w:rPr>
          <w:rFonts w:hint="eastAsia"/>
          <w:b w:val="0"/>
          <w:bCs w:val="0"/>
          <w:i w:val="0"/>
          <w:iCs/>
          <w:lang w:val="en-US" w:eastAsia="zh-CN"/>
        </w:rPr>
        <w:t xml:space="preserve">- Performance </w:t>
      </w:r>
      <w:r>
        <w:rPr>
          <w:rFonts w:hint="eastAsia"/>
          <w:i w:val="0"/>
          <w:iCs/>
        </w:rPr>
        <w:t>measurements reflect the amount of data collected by NWDAF</w:t>
      </w:r>
      <w:r>
        <w:rPr>
          <w:rFonts w:hint="eastAsia"/>
          <w:i w:val="0"/>
          <w:iCs/>
          <w:lang w:val="en-US" w:eastAsia="zh-CN"/>
        </w:rPr>
        <w:t xml:space="preserve">. Two cases are considered: a) data is collected directly by NWDAF; b) data is collected via </w:t>
      </w:r>
      <w:r>
        <w:rPr>
          <w:rFonts w:hint="eastAsia"/>
          <w:i w:val="0"/>
          <w:iCs/>
        </w:rPr>
        <w:t>DCCF/NWDAF hosting DCCF</w:t>
      </w:r>
      <w:r>
        <w:rPr>
          <w:rFonts w:hint="eastAsia"/>
          <w:i w:val="0"/>
          <w:iCs/>
          <w:lang w:val="en-US" w:eastAsia="zh-CN"/>
        </w:rPr>
        <w:t>.</w:t>
      </w:r>
    </w:p>
    <w:p w14:paraId="713DEDD6">
      <w:pPr>
        <w:pStyle w:val="168"/>
        <w:rPr>
          <w:i w:val="0"/>
          <w:iCs/>
        </w:rPr>
      </w:pPr>
      <w:r>
        <w:rPr>
          <w:rFonts w:hint="eastAsia"/>
          <w:i w:val="0"/>
          <w:iCs/>
          <w:lang w:val="en-US" w:eastAsia="zh-CN"/>
        </w:rPr>
        <w:t xml:space="preserve">- </w:t>
      </w:r>
      <w:r>
        <w:rPr>
          <w:rFonts w:hint="eastAsia"/>
          <w:b w:val="0"/>
          <w:bCs w:val="0"/>
          <w:i w:val="0"/>
          <w:iCs/>
          <w:lang w:val="en-US" w:eastAsia="zh-CN"/>
        </w:rPr>
        <w:t xml:space="preserve">Performance </w:t>
      </w:r>
      <w:r>
        <w:rPr>
          <w:rFonts w:hint="eastAsia"/>
          <w:i w:val="0"/>
          <w:iCs/>
        </w:rPr>
        <w:t>measurements</w:t>
      </w:r>
      <w:r>
        <w:rPr>
          <w:rFonts w:hint="eastAsia"/>
          <w:i w:val="0"/>
          <w:iCs/>
          <w:lang w:val="en-US" w:eastAsia="zh-CN"/>
        </w:rPr>
        <w:t xml:space="preserve"> estimate </w:t>
      </w:r>
      <w:r>
        <w:rPr>
          <w:rFonts w:hint="eastAsia" w:eastAsia="宋体"/>
          <w:i w:val="0"/>
          <w:iCs/>
          <w:lang w:val="en-US" w:eastAsia="zh-CN"/>
        </w:rPr>
        <w:t>the NWDAF data collection efficiency</w:t>
      </w:r>
      <w:r>
        <w:rPr>
          <w:rFonts w:hint="eastAsia"/>
          <w:i w:val="0"/>
          <w:iCs/>
          <w:lang w:val="en-US" w:eastAsia="zh-CN"/>
        </w:rPr>
        <w:t xml:space="preserve">. Two factors are considered to estimate the efficiency: a) the </w:t>
      </w:r>
      <w:r>
        <w:rPr>
          <w:rFonts w:hint="eastAsia"/>
          <w:i w:val="0"/>
          <w:iCs/>
        </w:rPr>
        <w:t>transmission overhead</w:t>
      </w:r>
      <w:r>
        <w:rPr>
          <w:rFonts w:hint="eastAsia"/>
          <w:i w:val="0"/>
          <w:iCs/>
          <w:lang w:val="en-US" w:eastAsia="zh-CN"/>
        </w:rPr>
        <w:t xml:space="preserve">; b) the time used </w:t>
      </w:r>
      <w:r>
        <w:rPr>
          <w:rFonts w:hint="eastAsia"/>
          <w:i w:val="0"/>
          <w:iCs/>
        </w:rPr>
        <w:t>for the transmission</w:t>
      </w:r>
      <w:r>
        <w:rPr>
          <w:rFonts w:hint="eastAsia"/>
          <w:i w:val="0"/>
          <w:iCs/>
          <w:lang w:val="en-US" w:eastAsia="zh-CN"/>
        </w:rPr>
        <w:t xml:space="preserve"> (the time used for data preparation is not included)</w:t>
      </w:r>
      <w:r>
        <w:rPr>
          <w:rFonts w:hint="eastAsia"/>
          <w:i w:val="0"/>
          <w:iCs/>
        </w:rPr>
        <w:t>.</w:t>
      </w:r>
    </w:p>
    <w:p w14:paraId="3496D8F6">
      <w:pPr>
        <w:rPr>
          <w:rFonts w:hint="default" w:eastAsia="宋体"/>
          <w:lang w:val="en-US" w:eastAsia="zh-CN"/>
        </w:rPr>
      </w:pPr>
      <w:r>
        <w:rPr>
          <w:rFonts w:hint="eastAsia"/>
        </w:rPr>
        <w:t>The NRM enhancements are specified in TS 28.541[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>the PM enhancement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are specified in TS 28.552[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, and the corresponding changes on YAML are updated on Forge.</w:t>
      </w:r>
    </w:p>
    <w:p w14:paraId="581D2234">
      <w:pPr>
        <w:spacing w:after="0"/>
        <w:rPr>
          <w:rFonts w:eastAsia="MS Mincho"/>
          <w:bCs/>
          <w:sz w:val="24"/>
          <w:szCs w:val="24"/>
          <w:lang w:eastAsia="ja-JP"/>
        </w:rPr>
      </w:pPr>
      <w:r>
        <w:rPr>
          <w:lang w:eastAsia="en-GB"/>
        </w:rPr>
        <w:t>Related CRs: set "TSG Status = Approved" in: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"https://portal.3gpp.org/ChangeRequests.aspx?q=1&amp;workitem=1050031"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92"/>
          <w:rFonts w:hint="eastAsia"/>
          <w:lang w:val="en-US" w:eastAsia="zh-CN"/>
        </w:rPr>
        <w:t>https://portal.3gpp.org/ChangeRequests.aspx?q=1&amp;workitem=1050031</w:t>
      </w:r>
      <w:r>
        <w:rPr>
          <w:rFonts w:hint="eastAsia"/>
          <w:lang w:val="en-US" w:eastAsia="zh-CN"/>
        </w:rPr>
        <w:fldChar w:fldCharType="end"/>
      </w:r>
    </w:p>
    <w:p w14:paraId="53D036E3">
      <w:pPr>
        <w:spacing w:after="0"/>
        <w:rPr>
          <w:rFonts w:eastAsia="MS Mincho"/>
          <w:b/>
          <w:sz w:val="24"/>
          <w:szCs w:val="24"/>
          <w:lang w:eastAsia="ja-JP"/>
        </w:rPr>
      </w:pPr>
    </w:p>
    <w:p w14:paraId="0B7C1AEE">
      <w:pPr>
        <w:spacing w:after="0"/>
        <w:rPr>
          <w:rFonts w:eastAsia="MS Mincho"/>
          <w:b/>
          <w:sz w:val="24"/>
          <w:szCs w:val="24"/>
          <w:lang w:eastAsia="ja-JP"/>
        </w:rPr>
      </w:pPr>
      <w:r>
        <w:rPr>
          <w:rFonts w:eastAsia="MS Mincho"/>
          <w:b/>
          <w:sz w:val="24"/>
          <w:szCs w:val="24"/>
          <w:lang w:eastAsia="ja-JP"/>
        </w:rPr>
        <w:t>References</w:t>
      </w:r>
    </w:p>
    <w:p w14:paraId="3204AC7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[1]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>Reference 1, TR 28.8</w:t>
      </w:r>
      <w:r>
        <w:rPr>
          <w:rFonts w:hint="eastAsia"/>
          <w:color w:val="auto"/>
          <w:lang w:val="en-US" w:eastAsia="zh-CN"/>
        </w:rPr>
        <w:t>77</w:t>
      </w:r>
      <w:r>
        <w:rPr>
          <w:rFonts w:eastAsia="Times New Roman"/>
          <w:color w:val="auto"/>
        </w:rPr>
        <w:t>: “</w:t>
      </w:r>
      <w:r>
        <w:rPr>
          <w:rFonts w:hint="eastAsia" w:eastAsia="Times New Roman"/>
          <w:color w:val="auto"/>
        </w:rPr>
        <w:t>Study on Enhancement of the management aspects related to Network Data Analytics Functions (NWDAF) Phase 2</w:t>
      </w:r>
      <w:r>
        <w:rPr>
          <w:rFonts w:eastAsia="Times New Roman"/>
          <w:color w:val="auto"/>
        </w:rPr>
        <w:t>”</w:t>
      </w:r>
    </w:p>
    <w:p w14:paraId="0D1D7D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[2]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>Reference 2, TS 28.541: “</w:t>
      </w:r>
      <w:r>
        <w:rPr>
          <w:color w:val="auto"/>
        </w:rPr>
        <w:t>TS 28.541: "Management and orchestration; 5G Network Resource Model (NRM); Stage 2 and stage 3</w:t>
      </w:r>
      <w:r>
        <w:rPr>
          <w:rFonts w:eastAsia="Times New Roman"/>
          <w:color w:val="auto"/>
        </w:rPr>
        <w:t>”</w:t>
      </w:r>
    </w:p>
    <w:p w14:paraId="52717B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[3]</w:t>
      </w:r>
      <w:r>
        <w:rPr>
          <w:rFonts w:eastAsia="Times New Roman"/>
          <w:color w:val="auto"/>
        </w:rPr>
        <w:tab/>
      </w:r>
      <w:r>
        <w:rPr>
          <w:rFonts w:eastAsia="Times New Roman"/>
          <w:color w:val="auto"/>
        </w:rPr>
        <w:t>Reference 3, T</w:t>
      </w:r>
      <w:bookmarkEnd w:id="3"/>
      <w:r>
        <w:rPr>
          <w:color w:val="auto"/>
        </w:rPr>
        <w:t>S 28.552 Management and orchestration; 5G performance measurements</w:t>
      </w:r>
    </w:p>
    <w:p w14:paraId="2F141C81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arasa Fixed CL Ligh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Sarasa UI J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arasa Fixed CL Light">
    <w:panose1 w:val="02000409000000000000"/>
    <w:charset w:val="88"/>
    <w:family w:val="auto"/>
    <w:pitch w:val="default"/>
    <w:sig w:usb0="F50002FF" w:usb1="79DFFDFF" w:usb2="03040036" w:usb3="00002008" w:csb0="2010011F" w:csb1="C4000000"/>
  </w:font>
  <w:font w:name="Sarasa UI J">
    <w:panose1 w:val="02000500000000000000"/>
    <w:charset w:val="80"/>
    <w:family w:val="auto"/>
    <w:pitch w:val="default"/>
    <w:sig w:usb0="F10002FF" w:usb1="69DFFDFF" w:usb2="0000001E" w:usb3="00100000" w:csb0="0002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revisionView w:markup="0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9D53AD"/>
    <w:rsid w:val="00A004B4"/>
    <w:rsid w:val="00A117D5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7ABE"/>
    <w:rsid w:val="00E82D8D"/>
    <w:rsid w:val="00E91FE1"/>
    <w:rsid w:val="00EA5E95"/>
    <w:rsid w:val="00ED4954"/>
    <w:rsid w:val="00ED5A43"/>
    <w:rsid w:val="00EE0943"/>
    <w:rsid w:val="00EE33A2"/>
    <w:rsid w:val="00F526B6"/>
    <w:rsid w:val="00F67A1C"/>
    <w:rsid w:val="00F7493F"/>
    <w:rsid w:val="00F82C5B"/>
    <w:rsid w:val="00F85325"/>
    <w:rsid w:val="00F8555F"/>
    <w:rsid w:val="00FB0B3F"/>
    <w:rsid w:val="00FB3E36"/>
    <w:rsid w:val="00FE6F70"/>
    <w:rsid w:val="00FF4910"/>
    <w:rsid w:val="08EB0A30"/>
    <w:rsid w:val="106F63B8"/>
    <w:rsid w:val="13081F81"/>
    <w:rsid w:val="159B47A9"/>
    <w:rsid w:val="1F224D4E"/>
    <w:rsid w:val="20B004AC"/>
    <w:rsid w:val="50665103"/>
    <w:rsid w:val="624F4CCE"/>
    <w:rsid w:val="75D8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qFormat="1"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33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uiPriority w:val="0"/>
  </w:style>
  <w:style w:type="paragraph" w:customStyle="1" w:styleId="126">
    <w:name w:val="B5"/>
    <w:basedOn w:val="71"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Guidance"/>
    <w:basedOn w:val="1"/>
    <w:uiPriority w:val="0"/>
    <w:pPr>
      <w:overflowPunct w:val="0"/>
      <w:autoSpaceDE w:val="0"/>
      <w:autoSpaceDN w:val="0"/>
      <w:adjustRightInd w:val="0"/>
      <w:spacing w:after="180" w:afterAutospacing="0"/>
      <w:jc w:val="left"/>
      <w:textAlignment w:val="baseline"/>
    </w:pPr>
    <w:rPr>
      <w:rFonts w:hint="default" w:ascii="Times New Roman" w:hAnsi="Times New Roman" w:cs="Times New Roman"/>
      <w:i/>
      <w:color w:val="000000"/>
      <w:kern w:val="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122</Words>
  <Characters>673</Characters>
  <Lines>1</Lines>
  <Paragraphs>1</Paragraphs>
  <TotalTime>30</TotalTime>
  <ScaleCrop>false</ScaleCrop>
  <LinksUpToDate>false</LinksUpToDate>
  <CharactersWithSpaces>782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CTC_Song_2024-09-03</cp:lastModifiedBy>
  <cp:lastPrinted>2411-12-31T23:00:00Z</cp:lastPrinted>
  <dcterms:modified xsi:type="dcterms:W3CDTF">2025-05-09T13:45:37Z</dcterms:modified>
  <dc:title>3GPP Contribution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TemplateDocerSaveRecord">
    <vt:lpwstr>eyJoZGlkIjoiMDY5NmFjMmM4ZTljMGJiZDAxN2JmYTc0NGI0NmFiNDgiLCJ1c2VySWQiOiIzNzA3ODMwNTMifQ==</vt:lpwstr>
  </property>
  <property fmtid="{D5CDD505-2E9C-101B-9397-08002B2CF9AE}" pid="5" name="KSOProductBuildVer">
    <vt:lpwstr>2052-12.1.0.20784</vt:lpwstr>
  </property>
  <property fmtid="{D5CDD505-2E9C-101B-9397-08002B2CF9AE}" pid="6" name="ICV">
    <vt:lpwstr>8A3DFA073C56416B9A731B740DD0E12A_13</vt:lpwstr>
  </property>
</Properties>
</file>